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4162.010.26.1.4590-2025</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ANTONIO JOSE MEJIA NARANJO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CC. 16.738.357</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KRYSTHIAN DAVID RAMIREZ MUNEVAR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Secretaría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12/NOV/2025</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6"/>
                <w:szCs w:val="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DIEZ MILLONES OCHOCIENTOS NOVENTA MIL PESOS M/CTE ($10.890.000)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$10.890.000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$5.445.000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$5.445.000</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9493880507</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1898660341</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04/NOV/2025</w:t>
            </w:r>
          </w:p>
          <w:p w:rsidR="00000000" w:rsidDel="00000000" w:rsidP="00000000" w:rsidRDefault="00000000" w:rsidRPr="00000000" w14:paraId="0000007C">
            <w:pPr>
              <w:rPr/>
            </w:pPr>
            <w:r w:rsidDel="00000000" w:rsidR="00000000" w:rsidRPr="00000000">
              <w:rPr>
                <w:rFonts w:ascii="Arial" w:cs="Arial" w:eastAsia="Arial" w:hAnsi="Arial"/>
                <w:sz w:val="24"/>
                <w:szCs w:val="24"/>
                <w:rtl w:val="0"/>
              </w:rPr>
              <w:t xml:space="preserve">Periodo de pago de la seguridad social: OCTUBRE 2025</w:t>
            </w:r>
            <w:r w:rsidDel="00000000" w:rsidR="00000000" w:rsidRPr="00000000">
              <w:rPr>
                <w:rtl w:val="0"/>
              </w:rPr>
            </w:r>
          </w:p>
        </w:tc>
      </w:tr>
      <w:tr>
        <w:trPr>
          <w:cantSplit w:val="0"/>
          <w:trHeight w:val="42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jc w:val="both"/>
              <w:rPr>
                <w:rFonts w:ascii="Arial" w:cs="Arial" w:eastAsia="Arial" w:hAnsi="Arial"/>
                <w:sz w:val="14"/>
                <w:szCs w:val="14"/>
              </w:rPr>
            </w:pPr>
            <w:r w:rsidDel="00000000" w:rsidR="00000000" w:rsidRPr="00000000">
              <w:rPr>
                <w:rFonts w:ascii="Arial" w:cs="Arial" w:eastAsia="Arial" w:hAnsi="Arial"/>
                <w:sz w:val="24"/>
                <w:szCs w:val="24"/>
                <w:rtl w:val="0"/>
              </w:rPr>
              <w:t xml:space="preserve">Observaciones al informe financiero y contable: El contratista adjunta certificados de afiliación de EPS Sura, Pensión Porvenir y ARL Positiva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6"/>
                <w:szCs w:val="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 Durante el desarrollo del contrato de prestación de servicios No 4162.010.26.1.4590-2025 se pudo constatar que el contratista realizó las siguientes actividades en cumplimiento de sus obligaciones y objeto contractual: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twhzhabnms2r" w:id="0"/>
            <w:bookmarkEnd w:id="0"/>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Realizar informes estadísticos, definición de variables e indicadores en las actividades e investigaciones integradas en el Observatorio</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El contratista realizó entrevistas a funcionarios y exsecretario del deporte y la recreación en el marco del desarrollo de las investigaciones propias del ODRAF y que tiene como propósito realizar la publicación conmemorativa de los 30 años del organismo y que visualizará la trayectoria de la Secretaría del Deporte y la Recreación desde su instalación a la actualidad y en la que se destacará los hitos más relevantes. (Ver anexo 1.1)</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 El contratista acompañó el análisis y la validación de las bases de datos de los deportistas que podrían ser los potenciales beneficiarios de la tasa prodeporte, establecido en el Acuerdo Distrital No 530 de 2022. Dicha base de datos proporciona información relevante para la toma de decisiones sustentada en información y evidencias dando claridad sobre la posible selección de los beneficios. (Ver anexo 1.2)</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 El contratista acompañó la elaboración de informe sobre la participación de la mujer en la oferta institucional como los programas, actividades, censos, entre otros como evidencia del cumplimiento de los indicadores de la política de mujer y género en la que la Secretaría del Deporte y la Recreación tiene responsabilidades. (Ver anexo 1.3)</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 El contratista analizó las cifras y datos de las carreras realizadas por la subsecretaría de fomento del deporte y que mide los niveles de satisfacción de los participantes en los diferentes aspectos estandarizados y que se convierten en insumo de un estudio longitudinal favoreciendo la evaluación permanente y la decisión sobre los ajustes preventivos y correctivos para las siguientes versiones por parte de los responsables y operadores. (Ver anexo 1.4)</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1.5 El contratista actualizó los instrumentos de captura de datos para la medición y estimación de los participantes en la Ciclovida del año 2025, preparando y coordinando las acciones de capacitación del personal de apoyo y la medición, y que con su procesamiento se estimará el número de participantes por jornada, orientado a que la información sea insumo para los tomadores de decisión y operadores del programa. (Ver anexo 1.5)</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Realizar acciones de articulación de conocimiento con entidades de la administración distrital y organizaciones del sector.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 El contratista aportó insumos para la revisión y actualización de la información del plan estadístico territorial para el establecimiento de la capacidad estadística de la Secretaría del Deporte y la Recreación en términos de la producción, procesamiento y divulgación de la información estadística y la actualización de las operaciones estadísticas del organismo como parte del proceso estratégico del modelo de operación por proceso de la Alcaldía de Santiago de Cali. (Ver anexo 2.1)</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El contratista gestionó insumos de información para dar respuesta a las proposiciones realizadas por el Concejo de Santiago de Cali al Secretario del deporte relacionadas con las acciones durante la administración y que tienden a dar claridad sobre la gestión permanente en materia de la construcción, adecuación mantenimiento y desarrollo del plan maestro de escenarios deportivos; la información de ejecuciones presupuestales y acciones legales; y , el desarrollo de los programas de la oferta institucional. (Ver anexo 2.2)</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2.3. El contratista asistió al V congreso internacional de seguridad en el deporte y asistió al coordinador del observatorio del deporte, la recreación y la actividad física en su ponencia en sus ponencias tanto en la ciudad de Pereira (Universidad Tecnológica de Pereira) y en la ciudad de Santiago de Cali (Universidad San Buenaventura) y en la que se presentaron conceptos, cifras, datos e información sobre los entornos seguros de la investigación realizado por el ODRAF. (Ver anexo 2.3)</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 El contratista realizó ponencia en la Universidad del Valle con ocasión de la celebración de los 50 años de la Facultad de Educación Física y en la que presentó la importancia de los datos y las cifras para la toma de decisiones en el sector del deporte y se presentó la experiencia del ODRAF con el resultado de los estudios realizados frente a la maratón de Cali, media maratón, ciclovidas, carreras, y ciudadelas de la alegría y su impacto en el Cali, como Ciudad Deportiva. (Ver anexo 2.4)</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2.5. El contratista brindó conferencia en la Escuela Nacional del Deporte y en la que se expuso la política pública del deporte, temas relacionados con la infraestructura deportiva y los programas de fomento del deporte. En el marco de la cooperación con la academia para la formación de estudiantes en contextos reales para los estudiantes de las carreras afines al deporte, la recreación y la actividad física. (Ver anexo 2.5)</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 El contratista atendió la visita de los estudiantes de la Universidad Antonio José Camacho en la que se presentaron temas relacionados con la formulación de proyectos, políticas públicas y la relevancia de las cifras y los datos para la toma de decisiones sustentados en evidencias, como parte de la articulación con dicha institución universitaria para el acercamiento al sector público. (Ver anexo 2.6)</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2.7. El contratista atendió la visita de los estudiantes de la Universidad Distrital Francisco José de Caldas de la Ciudad de Bogotá y en la que se plantean temas relacionados con los modelos de administración de escenarios deportivos y la experiencia, trayectoria y aprendizajes del ODRAF en materia de estudios relacionados y como parte de la divulgación de la información de las investigaciones realizadas y el acercamiento con las universidades de otras ciudades referentes que ven a Cali como modelo de gestión. (Ver anexo 2.7)</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Participar en la Mesa Interdisciplinaria de Trabajo para el análisis de la base de datos de infraestructura deportiva de la ciudad.</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El contratista estudió y analizó modelos de administración de instalaciones deportivas de América Latina para la exposición de los mismos a los equipos de administración de escenarios deportivos de Santiago de Cali y así generar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Las demás que le sean asignadas en el desarrollo del objeto contractual.</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El contratista participó en reunión del concejo asesor del deporte y en la que se realizó la presentación por parte de los coordinadores y un análisis propositivo de los miembros del consejo de cada uno de ellos evaluando las condiciones, debilidades, fortalezas y oportunidades que cada uno de ellos genera para el mejoramiento de la oferta institucional como misionalidad del consejo. (Ver anexo 4.1)</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 El contratista apoyó con insumos de información en la preparación del conversatorio sobre las fuentes de financiamiento del deporte, en el marco de los inconvenientes que ha tenido el sector con la suplantación de recursos propios del deporte con tasa prodeporte cuando estos debieron ser complementarios y que han afectado el desarrollo y crecimiento del sector en varias ciudades del Colombia. (Ver anexo 4. 2)</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 El contratista aportó a la sistematización de la experiencia del laboratorio de drones emprendido por el ODRAF como insumo de las investigaciones de este para la masificación del deporte y en especial de tendencias contemporáneas del deporte en el Distrito de Santiago de Cali. (Ver anexo 4.3)</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8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4.4. El contratista realizó la revisión y actualización de los archivos del Observatorio del Deporte, la Recreación y la Actividad Física, los cuales fueron cargados al repositorio digital de la Secretaría del Deporte, con el propósito de fortalecer la memoria histórica y facilitar la gestión documental de la entidad. (Ver anexo 4.4)</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8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4.5. El contratista revisó los diagnósticos sectoriales realizados por el Observatorio del Deporte, la Recreación y la Actividad Física para presentarlos a las comunidades para brindar informaciones en las reuniones del equipo de participación ciudadana y del secretario del deporte en sus visitas a los territorios. (Ver anexo 5.5)</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las evidencias se encuentran en el siguiente Link:</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https://drive.google.com/drive/u/0/folders/12zoMyYHdSfOcNMh5uFRuPBj5HNMQLNKw</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6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rHeight w:val="663"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reportan recomendaciones para este periodo.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aq2jdxjg353k" w:id="1"/>
            <w:bookmarkEnd w:id="1"/>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__________________________________________</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26/NOV/2025.</w:t>
            </w:r>
          </w:p>
        </w:tc>
      </w:tr>
    </w:tbl>
    <w:p w:rsidR="00000000" w:rsidDel="00000000" w:rsidP="00000000" w:rsidRDefault="00000000" w:rsidRPr="00000000" w14:paraId="000000C5">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Default" w:customStyle="1">
    <w:name w:val="Default"/>
    <w:rsid w:val="00024A24"/>
    <w:pPr>
      <w:autoSpaceDE w:val="0"/>
      <w:adjustRightInd w:val="0"/>
      <w:textAlignment w:val="auto"/>
    </w:pPr>
    <w:rPr>
      <w:rFonts w:ascii="Arial" w:cs="Arial" w:hAnsi="Arial"/>
      <w:color w:val="000000"/>
      <w:sz w:val="24"/>
      <w:szCs w:val="24"/>
      <w:lang w:val="es-CO"/>
    </w:rPr>
  </w:style>
  <w:style w:type="character" w:styleId="Mencinsinresolver1" w:customStyle="1">
    <w:name w:val="Mención sin resolver1"/>
    <w:basedOn w:val="Fuentedeprrafopredeter"/>
    <w:uiPriority w:val="99"/>
    <w:semiHidden w:val="1"/>
    <w:unhideWhenUsed w:val="1"/>
    <w:rsid w:val="00B4704E"/>
    <w:rPr>
      <w:color w:val="605e5c"/>
      <w:shd w:color="auto" w:fill="e1dfdd" w:val="clear"/>
    </w:rPr>
  </w:style>
  <w:style w:type="character" w:styleId="UnresolvedMention" w:customStyle="1">
    <w:name w:val="Unresolved Mention"/>
    <w:basedOn w:val="Fuentedeprrafopredeter"/>
    <w:uiPriority w:val="99"/>
    <w:semiHidden w:val="1"/>
    <w:unhideWhenUsed w:val="1"/>
    <w:rsid w:val="0043196E"/>
    <w:rPr>
      <w:color w:val="605e5c"/>
      <w:shd w:color="auto" w:fill="e1dfdd" w:val="clear"/>
    </w:rPr>
  </w:style>
  <w:style w:type="character" w:styleId="Hipervnculovisitado">
    <w:name w:val="FollowedHyperlink"/>
    <w:basedOn w:val="Fuentedeprrafopredeter"/>
    <w:uiPriority w:val="99"/>
    <w:semiHidden w:val="1"/>
    <w:unhideWhenUsed w:val="1"/>
    <w:rsid w:val="00EC6349"/>
    <w:rPr>
      <w:color w:val="954f72" w:themeColor="followedHyperlink"/>
      <w:u w:val="single"/>
    </w:rPr>
  </w:style>
  <w:style w:type="paragraph" w:styleId="NormalWeb">
    <w:name w:val="Normal (Web)"/>
    <w:basedOn w:val="Normal"/>
    <w:uiPriority w:val="99"/>
    <w:qFormat w:val="1"/>
    <w:rsid w:val="00295F2C"/>
    <w:pPr>
      <w:widowControl w:val="0"/>
      <w:autoSpaceDN w:val="1"/>
      <w:spacing w:after="280" w:before="280"/>
    </w:pPr>
    <w:rPr>
      <w:kern w:val="2"/>
      <w:sz w:val="24"/>
      <w:szCs w:val="24"/>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u/0/folders/12zoMyYHdSfOcNMh5uFRuPBj5HNMQLNK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sDSwxrkmH3ZsAPHMFZjtzfgtzg==">CgMxLjAyDmgudHdoemhhYm5tczJyMg5oLmFxMmpkeGpnMzUzazgAciExbzVJazFuQkxSZkhTa2k4Ul9RbmlDOEI5R3NVajd0b2Q=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2024-05-16T13:31:00Z</dcterms:created>
  <dc:creator>LEYDHER</dc:creator>
</cp:coreProperties>
</file>